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808CA3" w14:textId="77777777" w:rsidR="00051F6B" w:rsidRDefault="00FE6B83" w:rsidP="00245C0B">
      <w:pPr>
        <w:jc w:val="right"/>
      </w:pPr>
      <w:r>
        <w:t xml:space="preserve">Rev. </w:t>
      </w:r>
      <w:r w:rsidR="0054743B">
        <w:t>Jonathan Crawford</w:t>
      </w:r>
    </w:p>
    <w:p w14:paraId="4DA0186A" w14:textId="77777777" w:rsidR="0054743B" w:rsidRDefault="008C3197" w:rsidP="00245C0B">
      <w:pPr>
        <w:jc w:val="right"/>
      </w:pPr>
      <w:r>
        <w:t>April 2 &amp; 3, 2016</w:t>
      </w:r>
    </w:p>
    <w:p w14:paraId="11D57420" w14:textId="77777777" w:rsidR="0054743B" w:rsidRDefault="008C3197" w:rsidP="00245C0B">
      <w:pPr>
        <w:jc w:val="right"/>
      </w:pPr>
      <w:r>
        <w:t>John 20:19-31</w:t>
      </w:r>
    </w:p>
    <w:p w14:paraId="44D4AC64" w14:textId="77777777" w:rsidR="0054743B" w:rsidRDefault="00A872CF" w:rsidP="00245C0B">
      <w:pPr>
        <w:jc w:val="right"/>
      </w:pPr>
      <w:r>
        <w:t>The Incredulity of Saint Thomas</w:t>
      </w:r>
    </w:p>
    <w:p w14:paraId="2DE65E15" w14:textId="77777777" w:rsidR="0054743B" w:rsidRDefault="0054743B" w:rsidP="00245C0B">
      <w:pPr>
        <w:jc w:val="right"/>
      </w:pPr>
    </w:p>
    <w:p w14:paraId="79B418BA" w14:textId="77777777" w:rsidR="0054743B" w:rsidRPr="00A872CF" w:rsidRDefault="00115729" w:rsidP="00245C0B">
      <w:pPr>
        <w:spacing w:line="360" w:lineRule="auto"/>
        <w:rPr>
          <w:i/>
        </w:rPr>
      </w:pPr>
      <w:r>
        <w:tab/>
        <w:t>Grace, mercy and peace be to you from God our Father and from our Lord and Savior Jesus Christ. Amen. The word of God that we</w:t>
      </w:r>
      <w:r w:rsidR="00A872CF">
        <w:t xml:space="preserve"> consider today is from John’s Gospel: </w:t>
      </w:r>
      <w:r w:rsidR="00A872CF" w:rsidRPr="00A872CF">
        <w:rPr>
          <w:i/>
        </w:rPr>
        <w:t>“Put your finger here, and see my hands; and put out your hand, and place it in my side. Do not disbelieve, but believe.”</w:t>
      </w:r>
      <w:r w:rsidR="00A872CF" w:rsidRPr="00A872CF">
        <w:rPr>
          <w:b/>
          <w:bCs/>
          <w:i/>
        </w:rPr>
        <w:t> </w:t>
      </w:r>
      <w:r w:rsidR="00A872CF" w:rsidRPr="00A872CF">
        <w:rPr>
          <w:i/>
        </w:rPr>
        <w:t>Thomas answered him, “My Lord and my God!”</w:t>
      </w:r>
      <w:r w:rsidRPr="00A872CF">
        <w:rPr>
          <w:i/>
        </w:rPr>
        <w:t>.</w:t>
      </w:r>
    </w:p>
    <w:p w14:paraId="0D259441" w14:textId="77777777" w:rsidR="00B70DF8" w:rsidRDefault="00B70DF8" w:rsidP="00245C0B">
      <w:pPr>
        <w:spacing w:line="360" w:lineRule="auto"/>
      </w:pPr>
      <w:r>
        <w:tab/>
      </w:r>
      <w:r w:rsidR="009D492A">
        <w:t xml:space="preserve">Doubting Thomas was really unbelieving Thomas. In fact all of the disciples were unbelievers to begin with. None of them believed the reports of the women who </w:t>
      </w:r>
      <w:r w:rsidR="006612CD">
        <w:t>reported</w:t>
      </w:r>
      <w:r w:rsidR="009D492A">
        <w:t xml:space="preserve"> they had seen Jesus. Only after he appeared in their midst did they believe. </w:t>
      </w:r>
    </w:p>
    <w:p w14:paraId="75B53EAD" w14:textId="77777777" w:rsidR="009D492A" w:rsidRDefault="009D492A" w:rsidP="00245C0B">
      <w:pPr>
        <w:spacing w:line="360" w:lineRule="auto"/>
      </w:pPr>
      <w:r>
        <w:tab/>
        <w:t xml:space="preserve">We all know people who have doubts or who are unbelievers. We were all unbelievers at birth. There are a few kinds of unbelievers. First there are those who just can’t be bothered with God and Jesus and spirituality in general. They are too busy, they have too many things to worry about, they haven’t taken the time to think about spiritual things much less attend church services. </w:t>
      </w:r>
    </w:p>
    <w:p w14:paraId="45327479" w14:textId="77777777" w:rsidR="009D492A" w:rsidRDefault="009D492A" w:rsidP="00245C0B">
      <w:pPr>
        <w:spacing w:line="360" w:lineRule="auto"/>
      </w:pPr>
      <w:r>
        <w:tab/>
        <w:t xml:space="preserve">Then there are those who don’t want to be held accountable. The idea of a God who gives us rules and commandments to follow and threatens to punish evildoers just isn’t acceptable to them. </w:t>
      </w:r>
      <w:r w:rsidR="003B117C">
        <w:t xml:space="preserve">“Why should we take our morals from an outdated book written by men?” They ask. </w:t>
      </w:r>
    </w:p>
    <w:p w14:paraId="3BAB2916" w14:textId="77777777" w:rsidR="003B117C" w:rsidRDefault="003B117C" w:rsidP="00245C0B">
      <w:pPr>
        <w:spacing w:line="360" w:lineRule="auto"/>
      </w:pPr>
      <w:r>
        <w:tab/>
        <w:t xml:space="preserve">And then there are the skeptics. Those who won’t believe it unless they can see it, handle it, and examine it for themselves. In the modern period, scientific evidence was king. Unless something could be established by science, it was not worth believing. In the postmodern era, agnosticism has become more popular. Agnosticism asserts not only do we not know for sure about God but it is impossible for us to know! Agnostics are among the skeptics. St. Thomas also fell among the skeptics - </w:t>
      </w:r>
      <w:r w:rsidRPr="003B117C">
        <w:rPr>
          <w:i/>
        </w:rPr>
        <w:t>“Unless I see in his hands the mark of the nails, and place my finger into the mark of the nails, and place my hand into his side, I will never believe</w:t>
      </w:r>
      <w:r w:rsidRPr="003B117C">
        <w:t>.”</w:t>
      </w:r>
      <w:r>
        <w:t xml:space="preserve"> Show me the evidence! </w:t>
      </w:r>
    </w:p>
    <w:p w14:paraId="305416BF" w14:textId="77777777" w:rsidR="00657BE8" w:rsidRDefault="003B117C" w:rsidP="00245C0B">
      <w:pPr>
        <w:spacing w:line="360" w:lineRule="auto"/>
      </w:pPr>
      <w:r>
        <w:tab/>
        <w:t>Thomas was no more an unbeliever than the rest.</w:t>
      </w:r>
      <w:r w:rsidR="00657BE8">
        <w:t xml:space="preserve"> Thomas was there when Jesus foretold his resurrection. He was there when the women reported he was risen. He was there when the other ten disciples reported they had seen him. But he wanted to see for himself. He couldn’t fathom how a body that had endured the annihilation of crucifixion could possibly live again. </w:t>
      </w:r>
    </w:p>
    <w:p w14:paraId="24F96A7D" w14:textId="77777777" w:rsidR="006612CD" w:rsidRDefault="00657BE8" w:rsidP="00245C0B">
      <w:pPr>
        <w:spacing w:line="360" w:lineRule="auto"/>
      </w:pPr>
      <w:r>
        <w:t xml:space="preserve"> </w:t>
      </w:r>
      <w:r w:rsidR="00C90F43">
        <w:tab/>
        <w:t xml:space="preserve">This account is important because it shows us how Jesus deals with skeptics. He could have left Thomas alone to come to his own conclusions. He could </w:t>
      </w:r>
      <w:r w:rsidR="006612CD">
        <w:t xml:space="preserve">have </w:t>
      </w:r>
      <w:r w:rsidR="00C90F43">
        <w:t>said, “Thomas is entitled to his opinion. I respect his unbelief.” Or he could have been angry! “What’s the matter with all of you</w:t>
      </w:r>
      <w:r w:rsidR="006612CD">
        <w:t>, you numbskull</w:t>
      </w:r>
      <w:r w:rsidR="00C90F43">
        <w:t>? Didn’t I tell you I would rise from the dead?” But what actually happened is far more interesting.</w:t>
      </w:r>
    </w:p>
    <w:p w14:paraId="0F7713BB" w14:textId="77777777" w:rsidR="003B117C" w:rsidRPr="006612CD" w:rsidRDefault="00C90F43" w:rsidP="006612CD">
      <w:pPr>
        <w:spacing w:line="360" w:lineRule="auto"/>
        <w:ind w:firstLine="720"/>
      </w:pPr>
      <w:r>
        <w:lastRenderedPageBreak/>
        <w:t xml:space="preserve">Jesus came to them again – even though the doors were locked he showed up. Using Thomas’ very words from the week before, Jesus invited him, </w:t>
      </w:r>
      <w:r w:rsidRPr="00A872CF">
        <w:rPr>
          <w:i/>
        </w:rPr>
        <w:t>“Put your finger here, and see my hands; and put out your hand, and place it in my side. Do not disbelieve, but believe.”</w:t>
      </w:r>
      <w:r w:rsidRPr="00A872CF">
        <w:rPr>
          <w:b/>
          <w:bCs/>
          <w:i/>
        </w:rPr>
        <w:t> </w:t>
      </w:r>
    </w:p>
    <w:p w14:paraId="663CAA00" w14:textId="77777777" w:rsidR="00C90F43" w:rsidRDefault="00C90F43" w:rsidP="00245C0B">
      <w:pPr>
        <w:spacing w:line="360" w:lineRule="auto"/>
        <w:rPr>
          <w:bCs/>
        </w:rPr>
      </w:pPr>
      <w:r>
        <w:rPr>
          <w:b/>
          <w:bCs/>
        </w:rPr>
        <w:tab/>
      </w:r>
      <w:r>
        <w:rPr>
          <w:bCs/>
        </w:rPr>
        <w:t xml:space="preserve">Look at the image on the bulletin cover. This is one of my favorite works of art. It’s called “The Incredulity of Saint Thomas.” Incredulity meaning, “being unwilling to believe something.” It was painted in 1602 by Michelangelo Caravaggio. There are a few things I love about this painting. First, </w:t>
      </w:r>
      <w:r w:rsidR="005178DD">
        <w:rPr>
          <w:bCs/>
        </w:rPr>
        <w:t xml:space="preserve">look at the expressions on the disciples’ faces (and you’ve really got to go home and look this up on your computer so you can see it full size and in color). But you can see Thomas in the foreground and his eyebrows look like they’re about to hit the ceiling! </w:t>
      </w:r>
      <w:r w:rsidR="008A11C4">
        <w:rPr>
          <w:bCs/>
        </w:rPr>
        <w:t xml:space="preserve">This draws us into Thomas’ experience. </w:t>
      </w:r>
    </w:p>
    <w:p w14:paraId="40529D43" w14:textId="77777777" w:rsidR="008A11C4" w:rsidRDefault="008A11C4" w:rsidP="00245C0B">
      <w:pPr>
        <w:spacing w:line="360" w:lineRule="auto"/>
        <w:rPr>
          <w:bCs/>
        </w:rPr>
      </w:pPr>
      <w:r>
        <w:rPr>
          <w:bCs/>
        </w:rPr>
        <w:tab/>
        <w:t>Another thing I love about this painting is the other disciples. They’ve seen the Lord already. They believe. But there they are peering over Thomas’ shoulder to get a good hard look for themselves. Notice how those three pairs of eyes are all fixed on the spot where Thomas’ extended finger meets the wound on Christ’s side. This is where I really see myself in this work. By the grace of God I’m a believer but if I were there I’d be squeezing in right behind the others trying to get a good look. I believe but when Christians and skeptics debate I lean in close and listen. I want all the proof I can lay my eyes and ears on. I haven’t got it all figured out. I want my faith to be strengthened. And don’t we all? If Jesus were to appear in the room</w:t>
      </w:r>
      <w:r w:rsidR="00235CA5">
        <w:rPr>
          <w:bCs/>
        </w:rPr>
        <w:t xml:space="preserve"> and show us his wounds, would any of us </w:t>
      </w:r>
      <w:r w:rsidR="00235CA5">
        <w:rPr>
          <w:bCs/>
          <w:u w:val="single"/>
        </w:rPr>
        <w:t>not</w:t>
      </w:r>
      <w:r w:rsidR="00235CA5">
        <w:rPr>
          <w:bCs/>
        </w:rPr>
        <w:t xml:space="preserve"> want to get a closer look? </w:t>
      </w:r>
    </w:p>
    <w:p w14:paraId="3C67F652" w14:textId="77777777" w:rsidR="00235CA5" w:rsidRDefault="00235CA5" w:rsidP="00235CA5">
      <w:pPr>
        <w:spacing w:line="360" w:lineRule="auto"/>
        <w:rPr>
          <w:bCs/>
        </w:rPr>
      </w:pPr>
      <w:r>
        <w:rPr>
          <w:bCs/>
        </w:rPr>
        <w:tab/>
        <w:t xml:space="preserve">But probably the most amazing thing in the painting is Jesus himself. You don’t even need a caption to tell you what was said here. There is no anger or disappointment on Jesus’ face. He is patient with skeptical Thomas and invites him to do exactly as he </w:t>
      </w:r>
      <w:r w:rsidR="006612CD">
        <w:rPr>
          <w:bCs/>
        </w:rPr>
        <w:t>requested</w:t>
      </w:r>
      <w:r>
        <w:rPr>
          <w:bCs/>
        </w:rPr>
        <w:t xml:space="preserve">. Now there is a slight discrepancy here. Notice that in the text, it never says that Thomas </w:t>
      </w:r>
      <w:r w:rsidR="00464CE4">
        <w:rPr>
          <w:bCs/>
        </w:rPr>
        <w:t>actually carried out his tests. He</w:t>
      </w:r>
      <w:r w:rsidR="006612CD">
        <w:rPr>
          <w:bCs/>
        </w:rPr>
        <w:t xml:space="preserve"> simply</w:t>
      </w:r>
      <w:r w:rsidR="00464CE4">
        <w:rPr>
          <w:bCs/>
        </w:rPr>
        <w:t xml:space="preserve"> saw and he believed. Perhaps it was Jesus’ words that brought him to faith. Jesus knew what Thomas had asked even though he wasn’t in the room at the time. But the painting really captures Jesus’ love for this skeptic and his willingness to provide the proof he wanted.</w:t>
      </w:r>
    </w:p>
    <w:p w14:paraId="7B617F9A" w14:textId="77777777" w:rsidR="00464CE4" w:rsidRDefault="00235CA5" w:rsidP="00464CE4">
      <w:pPr>
        <w:spacing w:line="360" w:lineRule="auto"/>
        <w:ind w:firstLine="720"/>
        <w:rPr>
          <w:bCs/>
        </w:rPr>
      </w:pPr>
      <w:r>
        <w:t xml:space="preserve">Look at his hand, guiding Thomas’ outstretched finger, “Go ahead Thomas, put your finger here, place it in my side. Stop disbelieving and believe!” Look at Jesus’ eyes. They aren’t focused on the wound but on Thomas’ hand. </w:t>
      </w:r>
      <w:r w:rsidRPr="00235CA5">
        <w:t>Jesus’ attention is entirely focused on bringing Thomas from doubt to discernment, from unbelief to belief, from a lack of faith to an abundance of faith… Caravaggio’s painting shows a savior who won’t give up on sinners, who won’t be put off by skeptics, who won’t strop trying even when someone says ‘I will never believe!’, who won’t quit until he hears the words ‘My Lord and my God!’”</w:t>
      </w:r>
    </w:p>
    <w:p w14:paraId="666932A6" w14:textId="77777777" w:rsidR="00235CA5" w:rsidRDefault="00464CE4" w:rsidP="00464CE4">
      <w:pPr>
        <w:spacing w:line="360" w:lineRule="auto"/>
        <w:ind w:firstLine="720"/>
      </w:pPr>
      <w:r>
        <w:t>Every week in this place</w:t>
      </w:r>
      <w:r w:rsidRPr="00464CE4">
        <w:t xml:space="preserve">, </w:t>
      </w:r>
      <w:r>
        <w:t>Christ reaches out to us, takes our hands and draws them in closer to himself</w:t>
      </w:r>
      <w:r w:rsidRPr="00464CE4">
        <w:t xml:space="preserve">. He reaches out through his Word and through the Sacraments, Baptism and the Lord’s Supper. He reaches out through things you can hear, taste, and touch. The word creates faith in those who hear or read it. After the Lord’s Supper we pray, ‘Now may the body and blood of Christ </w:t>
      </w:r>
      <w:r w:rsidRPr="00464CE4">
        <w:rPr>
          <w:u w:val="single"/>
        </w:rPr>
        <w:t>strengthen</w:t>
      </w:r>
      <w:r w:rsidRPr="00464CE4">
        <w:t xml:space="preserve"> and preserve you in the true faith until life everlasting.’ All the way through this service, Christ reaches out with his raw imprinted palms to beckon and rescue you from doubt</w:t>
      </w:r>
      <w:r>
        <w:t>.</w:t>
      </w:r>
    </w:p>
    <w:p w14:paraId="6CC9064F" w14:textId="77777777" w:rsidR="00464CE4" w:rsidRDefault="00464CE4" w:rsidP="00464CE4">
      <w:pPr>
        <w:spacing w:line="360" w:lineRule="auto"/>
        <w:ind w:firstLine="720"/>
      </w:pPr>
      <w:r>
        <w:t xml:space="preserve">Skeptics and believers alike will still say, “Yeah but I want to see the wounds for myself like Thomas did!” And you will! When he returns. But then it will be too late. Blessed are those who have not seen and yet have believed! That’s all of us! We believe not because we have seen but because we have heard the account. </w:t>
      </w:r>
    </w:p>
    <w:p w14:paraId="7703F623" w14:textId="77777777" w:rsidR="003D4BA2" w:rsidRDefault="00464CE4" w:rsidP="00464CE4">
      <w:pPr>
        <w:spacing w:line="360" w:lineRule="auto"/>
        <w:ind w:firstLine="720"/>
      </w:pPr>
      <w:r>
        <w:t xml:space="preserve">Christ </w:t>
      </w:r>
      <w:r>
        <w:rPr>
          <w:u w:val="single"/>
        </w:rPr>
        <w:t>is</w:t>
      </w:r>
      <w:r>
        <w:t xml:space="preserve"> the Word of God. If we want to </w:t>
      </w:r>
      <w:r w:rsidR="003D4BA2">
        <w:t>draw closer to him; if we want to hear him speak; if we want to poke our finger into the wounds and probe around, then we must go to the Scriptures. That’s where Jesus would guide our fingers today – to those sacred pages. He invites us as he invited Thomas – “Go ahead. Read for yourself! Examine, explore, read, mark, learn, and inwardly digest this precious Word.” And we do. That’s why we’re here today, isn’t it?</w:t>
      </w:r>
    </w:p>
    <w:p w14:paraId="6E069D37" w14:textId="77777777" w:rsidR="00395201" w:rsidRDefault="003D4BA2" w:rsidP="00464CE4">
      <w:pPr>
        <w:spacing w:line="360" w:lineRule="auto"/>
        <w:ind w:firstLine="720"/>
      </w:pPr>
      <w:r>
        <w:t xml:space="preserve">But still we know of those skeptics in our lives who aren’t here. And that’s the challenge. How can we reach out to those who still say, “I will never believe”? Jesus didn’t give up on Thomas and you can be sure he won’t give up on our skeptical friends either. He may call on you to be the hand that guides their fingers into his wounded side. And go ahead, use the Scriptures! </w:t>
      </w:r>
    </w:p>
    <w:p w14:paraId="0ECA349B" w14:textId="77777777" w:rsidR="003D4BA2" w:rsidRDefault="003D4BA2" w:rsidP="00464CE4">
      <w:pPr>
        <w:spacing w:line="360" w:lineRule="auto"/>
        <w:ind w:firstLine="720"/>
      </w:pPr>
      <w:r>
        <w:t>A good skeptic shouldn’t ignore the Bible just because it’s the Bible! John wrote, “</w:t>
      </w:r>
      <w:r>
        <w:rPr>
          <w:i/>
        </w:rPr>
        <w:t>These things are written that you may believe that Jesus is the Christ, the Son of God…”</w:t>
      </w:r>
      <w:r>
        <w:t xml:space="preserve"> </w:t>
      </w:r>
      <w:r w:rsidR="00395201">
        <w:t xml:space="preserve">His whole book is intended to persuade the reader based on the evidence he provides. </w:t>
      </w:r>
      <w:r>
        <w:t xml:space="preserve">The Christian faith is not blind faith. These are </w:t>
      </w:r>
      <w:r w:rsidR="00395201">
        <w:t xml:space="preserve">the accounts of eyewitnesses. Jesus didn’t do all this in secret. His ministry was public, his crucifixion was public, and his resurrection appearances were public. He appeared to </w:t>
      </w:r>
      <w:r w:rsidR="003622FD">
        <w:t xml:space="preserve">several hundred. Certainly Christian faith only comes through the working of the Holy Spirit but it is based on real, historical events reported in multiple eyewitness accounts. History has no other satisfactory explanation for the empty tomb other than what the Bible tells us. </w:t>
      </w:r>
    </w:p>
    <w:p w14:paraId="7E50C7E4" w14:textId="77777777" w:rsidR="003622FD" w:rsidRPr="003622FD" w:rsidRDefault="003622FD" w:rsidP="00464CE4">
      <w:pPr>
        <w:spacing w:line="360" w:lineRule="auto"/>
        <w:ind w:firstLine="720"/>
        <w:rPr>
          <w:bCs/>
        </w:rPr>
      </w:pPr>
      <w:r>
        <w:rPr>
          <w:bCs/>
        </w:rPr>
        <w:t xml:space="preserve">We bother with skeptics because Jesus bothered with </w:t>
      </w:r>
      <w:r w:rsidR="00D469EF">
        <w:rPr>
          <w:bCs/>
        </w:rPr>
        <w:t>us</w:t>
      </w:r>
      <w:bookmarkStart w:id="0" w:name="_GoBack"/>
      <w:bookmarkEnd w:id="0"/>
      <w:r>
        <w:rPr>
          <w:bCs/>
        </w:rPr>
        <w:t>. We love them because he loved us! When Thomas exclaimed, “My Lord and my God!” it wasn’t time for the other disciples to gloat and say, “See, we were right, you were wrong. Ha! You numbskull!” “</w:t>
      </w:r>
      <w:r>
        <w:rPr>
          <w:i/>
        </w:rPr>
        <w:t xml:space="preserve">These things are written that you may believe that Jesus is the Christ, the Son of God…” </w:t>
      </w:r>
      <w:r>
        <w:t>not so we can tell new converts, “I convinced you didn’t I. You were wrong and I was right. Numbskull!” We want them to believe so “</w:t>
      </w:r>
      <w:r>
        <w:rPr>
          <w:i/>
        </w:rPr>
        <w:t>that by believing [they too] may have life in his name</w:t>
      </w:r>
      <w:r>
        <w:t>.” AMEN.</w:t>
      </w:r>
      <w:r>
        <w:tab/>
      </w:r>
    </w:p>
    <w:p w14:paraId="7C116EC2" w14:textId="77777777" w:rsidR="00115729" w:rsidRDefault="00115729" w:rsidP="00245C0B">
      <w:pPr>
        <w:spacing w:line="360" w:lineRule="auto"/>
      </w:pPr>
      <w:r>
        <w:tab/>
        <w:t>May the peace of God, which surpasses all understanding, guard your hearts and minds in Christ Jesus. Amen.</w:t>
      </w:r>
    </w:p>
    <w:sectPr w:rsidR="00115729" w:rsidSect="00245C0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5B541894"/>
    <w:lvl w:ilvl="0">
      <w:start w:val="1"/>
      <w:numFmt w:val="bullet"/>
      <w:pStyle w:val="NoteLevel1"/>
      <w:lvlText w:val=""/>
      <w:lvlJc w:val="left"/>
      <w:pPr>
        <w:tabs>
          <w:tab w:val="num" w:pos="0"/>
        </w:tabs>
        <w:ind w:left="0" w:firstLine="0"/>
      </w:pPr>
      <w:rPr>
        <w:rFonts w:ascii="Symbol" w:hAnsi="Symbol" w:hint="default"/>
      </w:rPr>
    </w:lvl>
    <w:lvl w:ilvl="1">
      <w:start w:val="1"/>
      <w:numFmt w:val="bullet"/>
      <w:pStyle w:val="NoteLevel2"/>
      <w:lvlText w:val=""/>
      <w:lvlJc w:val="left"/>
      <w:pPr>
        <w:tabs>
          <w:tab w:val="num" w:pos="720"/>
        </w:tabs>
        <w:ind w:left="1080" w:hanging="360"/>
      </w:pPr>
      <w:rPr>
        <w:rFonts w:ascii="Symbol" w:hAnsi="Symbol" w:hint="default"/>
      </w:rPr>
    </w:lvl>
    <w:lvl w:ilvl="2">
      <w:start w:val="1"/>
      <w:numFmt w:val="bullet"/>
      <w:pStyle w:val="NoteLevel3"/>
      <w:lvlText w:val="o"/>
      <w:lvlJc w:val="left"/>
      <w:pPr>
        <w:tabs>
          <w:tab w:val="num" w:pos="1440"/>
        </w:tabs>
        <w:ind w:left="1800" w:hanging="360"/>
      </w:pPr>
      <w:rPr>
        <w:rFonts w:ascii="Courier New" w:hAnsi="Courier New" w:cs="Courier New" w:hint="default"/>
      </w:rPr>
    </w:lvl>
    <w:lvl w:ilvl="3">
      <w:start w:val="1"/>
      <w:numFmt w:val="bullet"/>
      <w:pStyle w:val="NoteLevel4"/>
      <w:lvlText w:val=""/>
      <w:lvlJc w:val="left"/>
      <w:pPr>
        <w:tabs>
          <w:tab w:val="num" w:pos="2160"/>
        </w:tabs>
        <w:ind w:left="2520" w:hanging="360"/>
      </w:pPr>
      <w:rPr>
        <w:rFonts w:ascii="Wingdings" w:hAnsi="Wingdings" w:hint="default"/>
      </w:rPr>
    </w:lvl>
    <w:lvl w:ilvl="4">
      <w:start w:val="1"/>
      <w:numFmt w:val="bullet"/>
      <w:pStyle w:val="NoteLevel5"/>
      <w:lvlText w:val=""/>
      <w:lvlJc w:val="left"/>
      <w:pPr>
        <w:tabs>
          <w:tab w:val="num" w:pos="2880"/>
        </w:tabs>
        <w:ind w:left="3240" w:hanging="360"/>
      </w:pPr>
      <w:rPr>
        <w:rFonts w:ascii="Wingdings" w:hAnsi="Wingdings" w:hint="default"/>
      </w:rPr>
    </w:lvl>
    <w:lvl w:ilvl="5">
      <w:start w:val="1"/>
      <w:numFmt w:val="bullet"/>
      <w:pStyle w:val="NoteLevel6"/>
      <w:lvlText w:val=""/>
      <w:lvlJc w:val="left"/>
      <w:pPr>
        <w:tabs>
          <w:tab w:val="num" w:pos="3600"/>
        </w:tabs>
        <w:ind w:left="3960" w:hanging="360"/>
      </w:pPr>
      <w:rPr>
        <w:rFonts w:ascii="Symbol" w:hAnsi="Symbol" w:hint="default"/>
      </w:rPr>
    </w:lvl>
    <w:lvl w:ilvl="6">
      <w:start w:val="1"/>
      <w:numFmt w:val="bullet"/>
      <w:pStyle w:val="NoteLevel7"/>
      <w:lvlText w:val="o"/>
      <w:lvlJc w:val="left"/>
      <w:pPr>
        <w:tabs>
          <w:tab w:val="num" w:pos="4320"/>
        </w:tabs>
        <w:ind w:left="4680" w:hanging="360"/>
      </w:pPr>
      <w:rPr>
        <w:rFonts w:ascii="Courier New" w:hAnsi="Courier New" w:cs="Courier New" w:hint="default"/>
      </w:rPr>
    </w:lvl>
    <w:lvl w:ilvl="7">
      <w:start w:val="1"/>
      <w:numFmt w:val="bullet"/>
      <w:pStyle w:val="NoteLevel8"/>
      <w:lvlText w:val=""/>
      <w:lvlJc w:val="left"/>
      <w:pPr>
        <w:tabs>
          <w:tab w:val="num" w:pos="5040"/>
        </w:tabs>
        <w:ind w:left="5400" w:hanging="360"/>
      </w:pPr>
      <w:rPr>
        <w:rFonts w:ascii="Wingdings" w:hAnsi="Wingdings" w:hint="default"/>
      </w:rPr>
    </w:lvl>
    <w:lvl w:ilvl="8">
      <w:start w:val="1"/>
      <w:numFmt w:val="bullet"/>
      <w:pStyle w:val="NoteLevel9"/>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3197"/>
    <w:rsid w:val="00051F6B"/>
    <w:rsid w:val="00115729"/>
    <w:rsid w:val="00235CA5"/>
    <w:rsid w:val="00245C0B"/>
    <w:rsid w:val="003622FD"/>
    <w:rsid w:val="00395201"/>
    <w:rsid w:val="003B117C"/>
    <w:rsid w:val="003D4BA2"/>
    <w:rsid w:val="00464CE4"/>
    <w:rsid w:val="005178DD"/>
    <w:rsid w:val="0054743B"/>
    <w:rsid w:val="00657BE8"/>
    <w:rsid w:val="006612CD"/>
    <w:rsid w:val="008A11C4"/>
    <w:rsid w:val="008C3197"/>
    <w:rsid w:val="009D492A"/>
    <w:rsid w:val="00A872CF"/>
    <w:rsid w:val="00B45ECA"/>
    <w:rsid w:val="00B70DF8"/>
    <w:rsid w:val="00C90F43"/>
    <w:rsid w:val="00D469EF"/>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2FDC19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teLevel1">
    <w:name w:val="Note Level 1"/>
    <w:basedOn w:val="Normal"/>
    <w:uiPriority w:val="99"/>
    <w:unhideWhenUsed/>
    <w:rsid w:val="00235CA5"/>
    <w:pPr>
      <w:keepNext/>
      <w:numPr>
        <w:numId w:val="1"/>
      </w:numPr>
      <w:contextualSpacing/>
      <w:outlineLvl w:val="0"/>
    </w:pPr>
    <w:rPr>
      <w:rFonts w:ascii="Verdana" w:hAnsi="Verdana"/>
    </w:rPr>
  </w:style>
  <w:style w:type="paragraph" w:styleId="NoteLevel2">
    <w:name w:val="Note Level 2"/>
    <w:basedOn w:val="Normal"/>
    <w:uiPriority w:val="99"/>
    <w:unhideWhenUsed/>
    <w:rsid w:val="00235CA5"/>
    <w:pPr>
      <w:keepNext/>
      <w:numPr>
        <w:ilvl w:val="1"/>
        <w:numId w:val="1"/>
      </w:numPr>
      <w:contextualSpacing/>
      <w:outlineLvl w:val="1"/>
    </w:pPr>
    <w:rPr>
      <w:rFonts w:ascii="Verdana" w:hAnsi="Verdana"/>
    </w:rPr>
  </w:style>
  <w:style w:type="paragraph" w:styleId="NoteLevel3">
    <w:name w:val="Note Level 3"/>
    <w:basedOn w:val="Normal"/>
    <w:uiPriority w:val="99"/>
    <w:unhideWhenUsed/>
    <w:rsid w:val="00235CA5"/>
    <w:pPr>
      <w:keepNext/>
      <w:numPr>
        <w:ilvl w:val="2"/>
        <w:numId w:val="1"/>
      </w:numPr>
      <w:contextualSpacing/>
      <w:outlineLvl w:val="2"/>
    </w:pPr>
    <w:rPr>
      <w:rFonts w:ascii="Verdana" w:hAnsi="Verdana"/>
    </w:rPr>
  </w:style>
  <w:style w:type="paragraph" w:styleId="NoteLevel4">
    <w:name w:val="Note Level 4"/>
    <w:basedOn w:val="Normal"/>
    <w:uiPriority w:val="99"/>
    <w:unhideWhenUsed/>
    <w:rsid w:val="00235CA5"/>
    <w:pPr>
      <w:keepNext/>
      <w:numPr>
        <w:ilvl w:val="3"/>
        <w:numId w:val="1"/>
      </w:numPr>
      <w:contextualSpacing/>
      <w:outlineLvl w:val="3"/>
    </w:pPr>
    <w:rPr>
      <w:rFonts w:ascii="Verdana" w:hAnsi="Verdana"/>
    </w:rPr>
  </w:style>
  <w:style w:type="paragraph" w:styleId="NoteLevel5">
    <w:name w:val="Note Level 5"/>
    <w:basedOn w:val="Normal"/>
    <w:uiPriority w:val="99"/>
    <w:semiHidden/>
    <w:unhideWhenUsed/>
    <w:rsid w:val="00235CA5"/>
    <w:pPr>
      <w:keepNext/>
      <w:numPr>
        <w:ilvl w:val="4"/>
        <w:numId w:val="1"/>
      </w:numPr>
      <w:contextualSpacing/>
      <w:outlineLvl w:val="4"/>
    </w:pPr>
    <w:rPr>
      <w:rFonts w:ascii="Verdana" w:hAnsi="Verdana"/>
    </w:rPr>
  </w:style>
  <w:style w:type="paragraph" w:styleId="NoteLevel6">
    <w:name w:val="Note Level 6"/>
    <w:basedOn w:val="Normal"/>
    <w:uiPriority w:val="99"/>
    <w:semiHidden/>
    <w:unhideWhenUsed/>
    <w:rsid w:val="00235CA5"/>
    <w:pPr>
      <w:keepNext/>
      <w:numPr>
        <w:ilvl w:val="5"/>
        <w:numId w:val="1"/>
      </w:numPr>
      <w:contextualSpacing/>
      <w:outlineLvl w:val="5"/>
    </w:pPr>
    <w:rPr>
      <w:rFonts w:ascii="Verdana" w:hAnsi="Verdana"/>
    </w:rPr>
  </w:style>
  <w:style w:type="paragraph" w:styleId="NoteLevel7">
    <w:name w:val="Note Level 7"/>
    <w:basedOn w:val="Normal"/>
    <w:uiPriority w:val="99"/>
    <w:semiHidden/>
    <w:unhideWhenUsed/>
    <w:rsid w:val="00235CA5"/>
    <w:pPr>
      <w:keepNext/>
      <w:numPr>
        <w:ilvl w:val="6"/>
        <w:numId w:val="1"/>
      </w:numPr>
      <w:contextualSpacing/>
      <w:outlineLvl w:val="6"/>
    </w:pPr>
    <w:rPr>
      <w:rFonts w:ascii="Verdana" w:hAnsi="Verdana"/>
    </w:rPr>
  </w:style>
  <w:style w:type="paragraph" w:styleId="NoteLevel8">
    <w:name w:val="Note Level 8"/>
    <w:basedOn w:val="Normal"/>
    <w:uiPriority w:val="99"/>
    <w:semiHidden/>
    <w:unhideWhenUsed/>
    <w:rsid w:val="00235CA5"/>
    <w:pPr>
      <w:keepNext/>
      <w:numPr>
        <w:ilvl w:val="7"/>
        <w:numId w:val="1"/>
      </w:numPr>
      <w:contextualSpacing/>
      <w:outlineLvl w:val="7"/>
    </w:pPr>
    <w:rPr>
      <w:rFonts w:ascii="Verdana" w:hAnsi="Verdana"/>
    </w:rPr>
  </w:style>
  <w:style w:type="paragraph" w:styleId="NoteLevel9">
    <w:name w:val="Note Level 9"/>
    <w:basedOn w:val="Normal"/>
    <w:uiPriority w:val="99"/>
    <w:semiHidden/>
    <w:unhideWhenUsed/>
    <w:rsid w:val="00235CA5"/>
    <w:pPr>
      <w:keepNext/>
      <w:numPr>
        <w:ilvl w:val="8"/>
        <w:numId w:val="1"/>
      </w:numPr>
      <w:contextualSpacing/>
      <w:outlineLvl w:val="8"/>
    </w:pPr>
    <w:rPr>
      <w:rFonts w:ascii="Verdana" w:hAnsi="Verdan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teLevel1">
    <w:name w:val="Note Level 1"/>
    <w:basedOn w:val="Normal"/>
    <w:uiPriority w:val="99"/>
    <w:unhideWhenUsed/>
    <w:rsid w:val="00235CA5"/>
    <w:pPr>
      <w:keepNext/>
      <w:numPr>
        <w:numId w:val="1"/>
      </w:numPr>
      <w:contextualSpacing/>
      <w:outlineLvl w:val="0"/>
    </w:pPr>
    <w:rPr>
      <w:rFonts w:ascii="Verdana" w:hAnsi="Verdana"/>
    </w:rPr>
  </w:style>
  <w:style w:type="paragraph" w:styleId="NoteLevel2">
    <w:name w:val="Note Level 2"/>
    <w:basedOn w:val="Normal"/>
    <w:uiPriority w:val="99"/>
    <w:unhideWhenUsed/>
    <w:rsid w:val="00235CA5"/>
    <w:pPr>
      <w:keepNext/>
      <w:numPr>
        <w:ilvl w:val="1"/>
        <w:numId w:val="1"/>
      </w:numPr>
      <w:contextualSpacing/>
      <w:outlineLvl w:val="1"/>
    </w:pPr>
    <w:rPr>
      <w:rFonts w:ascii="Verdana" w:hAnsi="Verdana"/>
    </w:rPr>
  </w:style>
  <w:style w:type="paragraph" w:styleId="NoteLevel3">
    <w:name w:val="Note Level 3"/>
    <w:basedOn w:val="Normal"/>
    <w:uiPriority w:val="99"/>
    <w:unhideWhenUsed/>
    <w:rsid w:val="00235CA5"/>
    <w:pPr>
      <w:keepNext/>
      <w:numPr>
        <w:ilvl w:val="2"/>
        <w:numId w:val="1"/>
      </w:numPr>
      <w:contextualSpacing/>
      <w:outlineLvl w:val="2"/>
    </w:pPr>
    <w:rPr>
      <w:rFonts w:ascii="Verdana" w:hAnsi="Verdana"/>
    </w:rPr>
  </w:style>
  <w:style w:type="paragraph" w:styleId="NoteLevel4">
    <w:name w:val="Note Level 4"/>
    <w:basedOn w:val="Normal"/>
    <w:uiPriority w:val="99"/>
    <w:unhideWhenUsed/>
    <w:rsid w:val="00235CA5"/>
    <w:pPr>
      <w:keepNext/>
      <w:numPr>
        <w:ilvl w:val="3"/>
        <w:numId w:val="1"/>
      </w:numPr>
      <w:contextualSpacing/>
      <w:outlineLvl w:val="3"/>
    </w:pPr>
    <w:rPr>
      <w:rFonts w:ascii="Verdana" w:hAnsi="Verdana"/>
    </w:rPr>
  </w:style>
  <w:style w:type="paragraph" w:styleId="NoteLevel5">
    <w:name w:val="Note Level 5"/>
    <w:basedOn w:val="Normal"/>
    <w:uiPriority w:val="99"/>
    <w:semiHidden/>
    <w:unhideWhenUsed/>
    <w:rsid w:val="00235CA5"/>
    <w:pPr>
      <w:keepNext/>
      <w:numPr>
        <w:ilvl w:val="4"/>
        <w:numId w:val="1"/>
      </w:numPr>
      <w:contextualSpacing/>
      <w:outlineLvl w:val="4"/>
    </w:pPr>
    <w:rPr>
      <w:rFonts w:ascii="Verdana" w:hAnsi="Verdana"/>
    </w:rPr>
  </w:style>
  <w:style w:type="paragraph" w:styleId="NoteLevel6">
    <w:name w:val="Note Level 6"/>
    <w:basedOn w:val="Normal"/>
    <w:uiPriority w:val="99"/>
    <w:semiHidden/>
    <w:unhideWhenUsed/>
    <w:rsid w:val="00235CA5"/>
    <w:pPr>
      <w:keepNext/>
      <w:numPr>
        <w:ilvl w:val="5"/>
        <w:numId w:val="1"/>
      </w:numPr>
      <w:contextualSpacing/>
      <w:outlineLvl w:val="5"/>
    </w:pPr>
    <w:rPr>
      <w:rFonts w:ascii="Verdana" w:hAnsi="Verdana"/>
    </w:rPr>
  </w:style>
  <w:style w:type="paragraph" w:styleId="NoteLevel7">
    <w:name w:val="Note Level 7"/>
    <w:basedOn w:val="Normal"/>
    <w:uiPriority w:val="99"/>
    <w:semiHidden/>
    <w:unhideWhenUsed/>
    <w:rsid w:val="00235CA5"/>
    <w:pPr>
      <w:keepNext/>
      <w:numPr>
        <w:ilvl w:val="6"/>
        <w:numId w:val="1"/>
      </w:numPr>
      <w:contextualSpacing/>
      <w:outlineLvl w:val="6"/>
    </w:pPr>
    <w:rPr>
      <w:rFonts w:ascii="Verdana" w:hAnsi="Verdana"/>
    </w:rPr>
  </w:style>
  <w:style w:type="paragraph" w:styleId="NoteLevel8">
    <w:name w:val="Note Level 8"/>
    <w:basedOn w:val="Normal"/>
    <w:uiPriority w:val="99"/>
    <w:semiHidden/>
    <w:unhideWhenUsed/>
    <w:rsid w:val="00235CA5"/>
    <w:pPr>
      <w:keepNext/>
      <w:numPr>
        <w:ilvl w:val="7"/>
        <w:numId w:val="1"/>
      </w:numPr>
      <w:contextualSpacing/>
      <w:outlineLvl w:val="7"/>
    </w:pPr>
    <w:rPr>
      <w:rFonts w:ascii="Verdana" w:hAnsi="Verdana"/>
    </w:rPr>
  </w:style>
  <w:style w:type="paragraph" w:styleId="NoteLevel9">
    <w:name w:val="Note Level 9"/>
    <w:basedOn w:val="Normal"/>
    <w:uiPriority w:val="99"/>
    <w:semiHidden/>
    <w:unhideWhenUsed/>
    <w:rsid w:val="00235CA5"/>
    <w:pPr>
      <w:keepNext/>
      <w:numPr>
        <w:ilvl w:val="8"/>
        <w:numId w:val="1"/>
      </w:numPr>
      <w:contextualSpacing/>
      <w:outlineLvl w:val="8"/>
    </w:pPr>
    <w:rPr>
      <w:rFonts w:ascii="Verdana" w:hAnsi="Verdan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103</TotalTime>
  <Pages>3</Pages>
  <Words>1325</Words>
  <Characters>7558</Characters>
  <Application>Microsoft Macintosh Word</Application>
  <DocSecurity>0</DocSecurity>
  <Lines>62</Lines>
  <Paragraphs>17</Paragraphs>
  <ScaleCrop>false</ScaleCrop>
  <Company>Concordia Seminary</Company>
  <LinksUpToDate>false</LinksUpToDate>
  <CharactersWithSpaces>8866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2</cp:revision>
  <dcterms:created xsi:type="dcterms:W3CDTF">2016-04-02T16:41:00Z</dcterms:created>
  <dcterms:modified xsi:type="dcterms:W3CDTF">2016-04-02T20:14:00Z</dcterms:modified>
</cp:coreProperties>
</file>